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450D" w:rsidRDefault="00372492" w:rsidP="0099450D">
      <w:pPr>
        <w:widowControl w:val="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  <w:lang w:val="en-US"/>
        </w:rPr>
        <w:t>VI</w:t>
      </w:r>
      <w:r w:rsidRPr="00372492">
        <w:rPr>
          <w:rFonts w:ascii="Garamond" w:hAnsi="Garamond"/>
          <w:b/>
          <w:sz w:val="28"/>
          <w:szCs w:val="28"/>
        </w:rPr>
        <w:t>.6</w:t>
      </w:r>
      <w:r w:rsidR="00F56895">
        <w:rPr>
          <w:rFonts w:ascii="Garamond" w:hAnsi="Garamond"/>
          <w:b/>
          <w:sz w:val="28"/>
          <w:szCs w:val="28"/>
        </w:rPr>
        <w:t>.</w:t>
      </w:r>
      <w:r w:rsidRPr="00372492">
        <w:rPr>
          <w:rFonts w:ascii="Garamond" w:hAnsi="Garamond"/>
          <w:b/>
          <w:sz w:val="28"/>
          <w:szCs w:val="28"/>
        </w:rPr>
        <w:t xml:space="preserve"> </w:t>
      </w:r>
      <w:r w:rsidR="0099450D" w:rsidRPr="007117B8">
        <w:rPr>
          <w:rFonts w:ascii="Garamond" w:hAnsi="Garamond"/>
          <w:b/>
          <w:sz w:val="28"/>
          <w:szCs w:val="28"/>
        </w:rPr>
        <w:t xml:space="preserve">Изменения, </w:t>
      </w:r>
      <w:r w:rsidR="0099450D" w:rsidRPr="00D83A60">
        <w:rPr>
          <w:rFonts w:ascii="Garamond" w:hAnsi="Garamond"/>
          <w:b/>
          <w:sz w:val="28"/>
          <w:szCs w:val="28"/>
        </w:rPr>
        <w:t>связанные с уточн</w:t>
      </w:r>
      <w:r w:rsidR="0099450D">
        <w:rPr>
          <w:rFonts w:ascii="Garamond" w:hAnsi="Garamond"/>
          <w:b/>
          <w:sz w:val="28"/>
          <w:szCs w:val="28"/>
        </w:rPr>
        <w:t xml:space="preserve">ением </w:t>
      </w:r>
      <w:r w:rsidR="00EF05EF">
        <w:rPr>
          <w:rFonts w:ascii="Garamond" w:hAnsi="Garamond"/>
          <w:b/>
          <w:sz w:val="28"/>
          <w:szCs w:val="28"/>
        </w:rPr>
        <w:t>порядка учета ограничений (снижений) мощности энергоблоков ПГУ и ГТУ, зависящих от температурных ограничений</w:t>
      </w:r>
    </w:p>
    <w:p w:rsidR="00372492" w:rsidRDefault="00372492" w:rsidP="0099450D">
      <w:pPr>
        <w:widowControl w:val="0"/>
        <w:jc w:val="both"/>
        <w:rPr>
          <w:rFonts w:ascii="Garamond" w:hAnsi="Garamond"/>
          <w:b/>
          <w:sz w:val="28"/>
          <w:szCs w:val="28"/>
        </w:rPr>
      </w:pPr>
    </w:p>
    <w:p w:rsidR="00372492" w:rsidRPr="00372492" w:rsidRDefault="00372492" w:rsidP="00F56895">
      <w:pPr>
        <w:widowControl w:val="0"/>
        <w:ind w:right="-598"/>
        <w:jc w:val="right"/>
        <w:rPr>
          <w:rFonts w:ascii="Garamond" w:hAnsi="Garamond"/>
          <w:b/>
          <w:sz w:val="28"/>
          <w:szCs w:val="28"/>
        </w:rPr>
      </w:pPr>
      <w:r w:rsidRPr="00F56895">
        <w:rPr>
          <w:rFonts w:ascii="Garamond" w:hAnsi="Garamond"/>
          <w:b/>
          <w:sz w:val="28"/>
          <w:szCs w:val="28"/>
        </w:rPr>
        <w:t xml:space="preserve">Приложение </w:t>
      </w:r>
      <w:r>
        <w:rPr>
          <w:rFonts w:ascii="Garamond" w:hAnsi="Garamond"/>
          <w:b/>
          <w:sz w:val="28"/>
          <w:szCs w:val="28"/>
        </w:rPr>
        <w:t>№ 6.6</w:t>
      </w:r>
    </w:p>
    <w:p w:rsidR="0099450D" w:rsidRPr="007117B8" w:rsidRDefault="0099450D" w:rsidP="0099450D">
      <w:pPr>
        <w:widowControl w:val="0"/>
        <w:jc w:val="both"/>
        <w:rPr>
          <w:rFonts w:ascii="Garamond" w:hAnsi="Garamond"/>
          <w:b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76"/>
      </w:tblGrid>
      <w:tr w:rsidR="0099450D" w:rsidRPr="00F56895" w:rsidTr="0099450D">
        <w:trPr>
          <w:trHeight w:val="928"/>
        </w:trPr>
        <w:tc>
          <w:tcPr>
            <w:tcW w:w="15276" w:type="dxa"/>
          </w:tcPr>
          <w:p w:rsidR="0099450D" w:rsidRPr="00F56895" w:rsidRDefault="0099450D" w:rsidP="0099450D">
            <w:pPr>
              <w:widowControl w:val="0"/>
              <w:tabs>
                <w:tab w:val="left" w:pos="0"/>
                <w:tab w:val="left" w:pos="3420"/>
              </w:tabs>
              <w:jc w:val="both"/>
              <w:rPr>
                <w:rFonts w:ascii="Garamond" w:hAnsi="Garamond"/>
                <w:szCs w:val="28"/>
              </w:rPr>
            </w:pPr>
            <w:r w:rsidRPr="00F56895">
              <w:rPr>
                <w:rFonts w:ascii="Garamond" w:hAnsi="Garamond"/>
                <w:b/>
                <w:szCs w:val="28"/>
              </w:rPr>
              <w:t>Инициатор:</w:t>
            </w:r>
            <w:r w:rsidRPr="00F56895">
              <w:rPr>
                <w:rFonts w:ascii="Garamond" w:hAnsi="Garamond"/>
                <w:szCs w:val="28"/>
              </w:rPr>
              <w:t xml:space="preserve"> </w:t>
            </w:r>
            <w:r w:rsidR="00B210E8" w:rsidRPr="00F56895">
              <w:rPr>
                <w:rFonts w:ascii="Garamond" w:hAnsi="Garamond"/>
                <w:szCs w:val="28"/>
              </w:rPr>
              <w:t>А</w:t>
            </w:r>
            <w:r w:rsidRPr="00F56895">
              <w:rPr>
                <w:rFonts w:ascii="Garamond" w:hAnsi="Garamond"/>
                <w:szCs w:val="28"/>
              </w:rPr>
              <w:t>О «</w:t>
            </w:r>
            <w:r w:rsidR="00B210E8" w:rsidRPr="00F56895">
              <w:rPr>
                <w:rFonts w:ascii="Garamond" w:hAnsi="Garamond"/>
                <w:szCs w:val="28"/>
              </w:rPr>
              <w:t>СО ЕЭС</w:t>
            </w:r>
            <w:r w:rsidRPr="00F56895">
              <w:rPr>
                <w:rFonts w:ascii="Garamond" w:hAnsi="Garamond"/>
                <w:szCs w:val="28"/>
              </w:rPr>
              <w:t>.</w:t>
            </w:r>
          </w:p>
          <w:p w:rsidR="00FF739F" w:rsidRPr="00F56895" w:rsidRDefault="0099450D" w:rsidP="00D8205D">
            <w:pPr>
              <w:suppressAutoHyphens/>
              <w:jc w:val="both"/>
              <w:rPr>
                <w:rFonts w:ascii="Garamond" w:hAnsi="Garamond"/>
                <w:szCs w:val="28"/>
              </w:rPr>
            </w:pPr>
            <w:r w:rsidRPr="00F56895">
              <w:rPr>
                <w:rFonts w:ascii="Garamond" w:hAnsi="Garamond"/>
                <w:b/>
                <w:szCs w:val="28"/>
              </w:rPr>
              <w:t>Обоснование:</w:t>
            </w:r>
            <w:r w:rsidR="00EF05EF" w:rsidRPr="00F56895">
              <w:rPr>
                <w:rFonts w:ascii="Garamond" w:hAnsi="Garamond"/>
                <w:szCs w:val="28"/>
              </w:rPr>
              <w:t xml:space="preserve"> </w:t>
            </w:r>
            <w:r w:rsidR="00F56895">
              <w:rPr>
                <w:rFonts w:ascii="Garamond" w:hAnsi="Garamond"/>
                <w:szCs w:val="28"/>
              </w:rPr>
              <w:t>в</w:t>
            </w:r>
            <w:r w:rsidR="009D440F" w:rsidRPr="00F56895">
              <w:rPr>
                <w:rFonts w:ascii="Garamond" w:hAnsi="Garamond"/>
                <w:szCs w:val="28"/>
              </w:rPr>
              <w:t xml:space="preserve"> д</w:t>
            </w:r>
            <w:r w:rsidR="00D8205D" w:rsidRPr="00F56895">
              <w:rPr>
                <w:rFonts w:ascii="Garamond" w:hAnsi="Garamond"/>
                <w:szCs w:val="28"/>
              </w:rPr>
              <w:t>ействующ</w:t>
            </w:r>
            <w:r w:rsidR="009D440F" w:rsidRPr="00F56895">
              <w:rPr>
                <w:rFonts w:ascii="Garamond" w:hAnsi="Garamond"/>
                <w:szCs w:val="28"/>
              </w:rPr>
              <w:t>ем</w:t>
            </w:r>
            <w:r w:rsidR="00D8205D" w:rsidRPr="00F56895">
              <w:rPr>
                <w:rFonts w:ascii="Garamond" w:hAnsi="Garamond"/>
                <w:szCs w:val="28"/>
              </w:rPr>
              <w:t xml:space="preserve"> порядке учета ограничений (снижений) максимальной мощности энергоблоков ПГУ и ГТУ, зависящих от температуры наружного воздуха, </w:t>
            </w:r>
            <w:r w:rsidR="00FF739F" w:rsidRPr="00F56895">
              <w:rPr>
                <w:rFonts w:ascii="Garamond" w:hAnsi="Garamond"/>
                <w:szCs w:val="28"/>
              </w:rPr>
              <w:t>отсутствует регламентация порядка учета при определении указанных ограничений фактической температуры наружного воздуха, передаваемой участником оптового рынка в составе согласованных с СО дополнительных неэлектрических параметров.</w:t>
            </w:r>
          </w:p>
          <w:p w:rsidR="0099450D" w:rsidRPr="00F56895" w:rsidRDefault="009D440F" w:rsidP="00D8205D">
            <w:pPr>
              <w:suppressAutoHyphens/>
              <w:jc w:val="both"/>
              <w:rPr>
                <w:rFonts w:ascii="Garamond" w:hAnsi="Garamond"/>
                <w:bCs/>
              </w:rPr>
            </w:pPr>
            <w:r w:rsidRPr="00F56895">
              <w:rPr>
                <w:rFonts w:ascii="Garamond" w:hAnsi="Garamond"/>
                <w:bCs/>
                <w:szCs w:val="28"/>
              </w:rPr>
              <w:t>П</w:t>
            </w:r>
            <w:r w:rsidR="00D8205D" w:rsidRPr="00F56895">
              <w:rPr>
                <w:rFonts w:ascii="Garamond" w:hAnsi="Garamond"/>
                <w:bCs/>
                <w:szCs w:val="28"/>
              </w:rPr>
              <w:t xml:space="preserve">редлагается </w:t>
            </w:r>
            <w:r w:rsidR="00D8205D" w:rsidRPr="00F56895">
              <w:rPr>
                <w:rFonts w:ascii="Garamond" w:hAnsi="Garamond"/>
                <w:szCs w:val="28"/>
              </w:rPr>
              <w:t xml:space="preserve">дополнить указанный порядок </w:t>
            </w:r>
            <w:r w:rsidR="00D8205D" w:rsidRPr="00F56895">
              <w:rPr>
                <w:rFonts w:ascii="Garamond" w:hAnsi="Garamond"/>
                <w:bCs/>
                <w:szCs w:val="28"/>
              </w:rPr>
              <w:t>описанием порядка учета ограничений (снижений) максимальной мощности блочных единиц генерирующего оборудования (ПГУ, ГТУ), зависящих от температуры наружного воздуха, в зависимости от фактических значений температуры наружного воздуха, переданных участниками оптового рынка в составе согласованных с СО дополнительных неэлектрических параметров</w:t>
            </w:r>
            <w:r w:rsidR="00D8205D" w:rsidRPr="00F56895">
              <w:rPr>
                <w:rFonts w:ascii="Garamond" w:hAnsi="Garamond"/>
                <w:szCs w:val="28"/>
              </w:rPr>
              <w:t>.</w:t>
            </w:r>
          </w:p>
          <w:p w:rsidR="0099450D" w:rsidRPr="00F56895" w:rsidRDefault="0099450D" w:rsidP="00B210E8">
            <w:pPr>
              <w:jc w:val="both"/>
              <w:rPr>
                <w:rFonts w:ascii="Garamond" w:hAnsi="Garamond"/>
              </w:rPr>
            </w:pPr>
            <w:r w:rsidRPr="00F56895">
              <w:rPr>
                <w:rFonts w:ascii="Garamond" w:hAnsi="Garamond"/>
                <w:b/>
                <w:bCs/>
                <w:szCs w:val="28"/>
              </w:rPr>
              <w:t>Дата вступления в силу:</w:t>
            </w:r>
            <w:r w:rsidRPr="00F56895">
              <w:rPr>
                <w:rFonts w:ascii="Garamond" w:hAnsi="Garamond"/>
                <w:bCs/>
                <w:szCs w:val="28"/>
              </w:rPr>
              <w:t xml:space="preserve"> 1 </w:t>
            </w:r>
            <w:r w:rsidR="00B210E8" w:rsidRPr="00F56895">
              <w:rPr>
                <w:rFonts w:ascii="Garamond" w:hAnsi="Garamond"/>
                <w:bCs/>
                <w:szCs w:val="28"/>
              </w:rPr>
              <w:t>октября</w:t>
            </w:r>
            <w:r w:rsidRPr="00F56895">
              <w:rPr>
                <w:rFonts w:ascii="Garamond" w:hAnsi="Garamond"/>
                <w:bCs/>
                <w:szCs w:val="28"/>
              </w:rPr>
              <w:t xml:space="preserve"> 2018 года.</w:t>
            </w:r>
          </w:p>
        </w:tc>
      </w:tr>
    </w:tbl>
    <w:p w:rsidR="0099450D" w:rsidRPr="007117B8" w:rsidRDefault="0099450D" w:rsidP="0099450D">
      <w:pPr>
        <w:pStyle w:val="2"/>
        <w:widowControl w:val="0"/>
        <w:jc w:val="both"/>
        <w:rPr>
          <w:rFonts w:ascii="Garamond" w:hAnsi="Garamond"/>
          <w:b w:val="0"/>
          <w:sz w:val="24"/>
          <w:szCs w:val="24"/>
        </w:rPr>
      </w:pPr>
      <w:bookmarkStart w:id="0" w:name="_Toc101261834"/>
      <w:bookmarkStart w:id="1" w:name="_Toc101672096"/>
      <w:bookmarkStart w:id="2" w:name="_Toc103055809"/>
      <w:bookmarkStart w:id="3" w:name="_Toc105228112"/>
      <w:bookmarkStart w:id="4" w:name="_Toc107045995"/>
    </w:p>
    <w:bookmarkEnd w:id="0"/>
    <w:bookmarkEnd w:id="1"/>
    <w:bookmarkEnd w:id="2"/>
    <w:bookmarkEnd w:id="3"/>
    <w:bookmarkEnd w:id="4"/>
    <w:p w:rsidR="0099450D" w:rsidRDefault="0099450D" w:rsidP="00F56895">
      <w:pPr>
        <w:pStyle w:val="2"/>
        <w:widowControl w:val="0"/>
        <w:rPr>
          <w:rFonts w:ascii="Garamond" w:hAnsi="Garamond"/>
          <w:sz w:val="26"/>
          <w:szCs w:val="26"/>
        </w:rPr>
      </w:pPr>
      <w:r w:rsidRPr="00DF7E7D">
        <w:rPr>
          <w:rFonts w:ascii="Garamond" w:hAnsi="Garamond"/>
          <w:sz w:val="26"/>
          <w:szCs w:val="26"/>
        </w:rPr>
        <w:t xml:space="preserve">Предложения по изменениям и дополнениям в </w:t>
      </w:r>
      <w:r w:rsidRPr="00DF7E7D">
        <w:rPr>
          <w:rFonts w:ascii="Garamond" w:hAnsi="Garamond"/>
          <w:sz w:val="26"/>
          <w:szCs w:val="26"/>
          <w:shd w:val="clear" w:color="auto" w:fill="FFFFFF"/>
        </w:rPr>
        <w:t xml:space="preserve">РЕГЛАМЕНТ </w:t>
      </w:r>
      <w:r w:rsidR="00B210E8" w:rsidRPr="00B210E8">
        <w:rPr>
          <w:rFonts w:ascii="Garamond" w:hAnsi="Garamond"/>
          <w:sz w:val="26"/>
          <w:szCs w:val="26"/>
          <w:shd w:val="clear" w:color="auto" w:fill="FFFFFF"/>
        </w:rPr>
        <w:t xml:space="preserve">ОПРЕДЕЛЕНИЯ ОБЪЕМОВ ФАКТИЧЕСКИ ПОСТАВЛЕННОЙ НА ОПТОВЫЙ РЫНОК МОЩНОСТИ </w:t>
      </w:r>
      <w:r w:rsidRPr="00DF7E7D">
        <w:rPr>
          <w:rFonts w:ascii="Garamond" w:hAnsi="Garamond"/>
          <w:sz w:val="26"/>
          <w:szCs w:val="26"/>
        </w:rPr>
        <w:t>(Приложение № 1</w:t>
      </w:r>
      <w:r w:rsidR="00B210E8">
        <w:rPr>
          <w:rFonts w:ascii="Garamond" w:hAnsi="Garamond"/>
          <w:sz w:val="26"/>
          <w:szCs w:val="26"/>
        </w:rPr>
        <w:t>3</w:t>
      </w:r>
      <w:r w:rsidRPr="00DF7E7D">
        <w:rPr>
          <w:rFonts w:ascii="Garamond" w:hAnsi="Garamond"/>
          <w:sz w:val="26"/>
          <w:szCs w:val="26"/>
        </w:rPr>
        <w:t xml:space="preserve"> к Договору о присоединении к торговой системе оптового рынка)</w:t>
      </w:r>
    </w:p>
    <w:p w:rsidR="0099450D" w:rsidRPr="00DF7E7D" w:rsidRDefault="0099450D" w:rsidP="0099450D"/>
    <w:tbl>
      <w:tblPr>
        <w:tblW w:w="153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218"/>
        <w:gridCol w:w="7182"/>
      </w:tblGrid>
      <w:tr w:rsidR="0099450D" w:rsidRPr="00DF7E7D" w:rsidTr="00275242">
        <w:trPr>
          <w:tblHeader/>
        </w:trPr>
        <w:tc>
          <w:tcPr>
            <w:tcW w:w="900" w:type="dxa"/>
            <w:vAlign w:val="center"/>
          </w:tcPr>
          <w:p w:rsidR="0099450D" w:rsidRPr="00DF7E7D" w:rsidRDefault="0099450D" w:rsidP="0099450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F7E7D">
              <w:rPr>
                <w:rFonts w:ascii="Garamond" w:hAnsi="Garamond"/>
                <w:b/>
                <w:sz w:val="22"/>
                <w:szCs w:val="22"/>
              </w:rPr>
              <w:t xml:space="preserve">№ </w:t>
            </w:r>
          </w:p>
          <w:p w:rsidR="0099450D" w:rsidRPr="00DF7E7D" w:rsidRDefault="0099450D" w:rsidP="0099450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F7E7D">
              <w:rPr>
                <w:rFonts w:ascii="Garamond" w:hAnsi="Garamond"/>
                <w:b/>
                <w:sz w:val="22"/>
                <w:szCs w:val="22"/>
              </w:rPr>
              <w:t>пункта</w:t>
            </w:r>
          </w:p>
        </w:tc>
        <w:tc>
          <w:tcPr>
            <w:tcW w:w="7218" w:type="dxa"/>
          </w:tcPr>
          <w:p w:rsidR="0099450D" w:rsidRPr="00DF7E7D" w:rsidRDefault="0099450D" w:rsidP="0099450D">
            <w:pPr>
              <w:widowControl w:val="0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DF7E7D">
              <w:rPr>
                <w:rFonts w:ascii="Garamond" w:hAnsi="Garamond"/>
                <w:b/>
                <w:bCs/>
                <w:sz w:val="22"/>
                <w:szCs w:val="22"/>
              </w:rPr>
              <w:t>Редакция, действующая на момент</w:t>
            </w:r>
          </w:p>
          <w:p w:rsidR="0099450D" w:rsidRPr="00DF7E7D" w:rsidRDefault="0099450D" w:rsidP="0099450D">
            <w:pPr>
              <w:widowControl w:val="0"/>
              <w:tabs>
                <w:tab w:val="center" w:pos="3708"/>
                <w:tab w:val="left" w:pos="5298"/>
              </w:tabs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F7E7D">
              <w:rPr>
                <w:rFonts w:ascii="Garamond" w:hAnsi="Garamond"/>
                <w:b/>
                <w:bCs/>
                <w:sz w:val="22"/>
                <w:szCs w:val="22"/>
              </w:rPr>
              <w:t>вступления в силу изменений</w:t>
            </w:r>
          </w:p>
        </w:tc>
        <w:tc>
          <w:tcPr>
            <w:tcW w:w="7182" w:type="dxa"/>
          </w:tcPr>
          <w:p w:rsidR="0099450D" w:rsidRPr="00DF7E7D" w:rsidRDefault="0099450D" w:rsidP="0099450D">
            <w:pPr>
              <w:widowControl w:val="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F7E7D">
              <w:rPr>
                <w:rFonts w:ascii="Garamond" w:hAnsi="Garamond"/>
                <w:b/>
                <w:sz w:val="22"/>
                <w:szCs w:val="22"/>
              </w:rPr>
              <w:t>Предлагаемая редакция</w:t>
            </w:r>
          </w:p>
          <w:p w:rsidR="0099450D" w:rsidRPr="00DF7E7D" w:rsidRDefault="0099450D" w:rsidP="0099450D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DF7E7D">
              <w:rPr>
                <w:rFonts w:ascii="Garamond" w:hAnsi="Garamond"/>
                <w:sz w:val="22"/>
                <w:szCs w:val="22"/>
              </w:rPr>
              <w:t>(изменения выделены цветом)</w:t>
            </w:r>
          </w:p>
        </w:tc>
      </w:tr>
      <w:tr w:rsidR="00B210E8" w:rsidRPr="00DF7E7D" w:rsidTr="00EF05EF">
        <w:trPr>
          <w:trHeight w:val="147"/>
        </w:trPr>
        <w:tc>
          <w:tcPr>
            <w:tcW w:w="900" w:type="dxa"/>
            <w:shd w:val="clear" w:color="auto" w:fill="auto"/>
            <w:vAlign w:val="center"/>
          </w:tcPr>
          <w:p w:rsidR="00B210E8" w:rsidRPr="00DF7E7D" w:rsidRDefault="00B210E8" w:rsidP="00B210E8">
            <w:pPr>
              <w:widowControl w:val="0"/>
              <w:spacing w:before="120" w:after="120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4.5</w:t>
            </w:r>
          </w:p>
        </w:tc>
        <w:tc>
          <w:tcPr>
            <w:tcW w:w="7218" w:type="dxa"/>
            <w:shd w:val="clear" w:color="auto" w:fill="auto"/>
          </w:tcPr>
          <w:p w:rsidR="00B210E8" w:rsidRPr="00EF05EF" w:rsidRDefault="00B210E8" w:rsidP="00B210E8">
            <w:pPr>
              <w:pStyle w:val="3"/>
              <w:spacing w:before="0" w:after="0"/>
              <w:ind w:firstLine="709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bookmarkStart w:id="5" w:name="_Toc491709782"/>
            <w:bookmarkStart w:id="6" w:name="_Toc491710383"/>
            <w:bookmarkStart w:id="7" w:name="_Toc497910517"/>
            <w:bookmarkStart w:id="8" w:name="_Toc502247843"/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В отношении блочных единиц генерирующего оборудования (ПГУ, ГТУ) участник оптового рынка за 5 (пять) рабочих дней до начала месяца имеет право направить и согласовать с СО единые данные (одну зависимость ограничений (снижений) максимальной мощности от величины изменения температуры наружного воздуха), сформированные для стационарных условий функционирования генерирующего оборудования (ПГУ, ГТУ), а именно табличное представление изменения величины ограничений (снижений) мощности блочных единиц генерирующего оборудования (ПГУ, ГТУ) в зависимости от величины изменения температуры наружного воздуха. В табличной форме указывается информация для значений изменения температуры наружного воздуха в интервале от минус 40 до плюс 40 градусов по Цельсию с шагом 5 градусов по Цельсию.</w:t>
            </w:r>
            <w:bookmarkEnd w:id="5"/>
            <w:bookmarkEnd w:id="6"/>
            <w:bookmarkEnd w:id="7"/>
            <w:bookmarkEnd w:id="8"/>
          </w:p>
          <w:p w:rsidR="00B210E8" w:rsidRPr="00EF05EF" w:rsidRDefault="00B210E8" w:rsidP="00B210E8">
            <w:pPr>
              <w:pStyle w:val="3"/>
              <w:spacing w:before="0" w:after="0"/>
              <w:ind w:firstLine="709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bookmarkStart w:id="9" w:name="_Toc491709783"/>
            <w:bookmarkStart w:id="10" w:name="_Toc491710384"/>
            <w:bookmarkStart w:id="11" w:name="_Toc497910518"/>
            <w:bookmarkStart w:id="12" w:name="_Toc502247844"/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Формат предоставления и порядок согласования данных о зависимости ограничений (снижений) максимальной мощности блочных 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lastRenderedPageBreak/>
              <w:t>единиц генерирующего оборудования (ПГУ, ГТУ) от величины изменения температуры наружного воздуха определяется Техническими требованиями.</w:t>
            </w:r>
            <w:bookmarkEnd w:id="9"/>
            <w:bookmarkEnd w:id="10"/>
            <w:bookmarkEnd w:id="11"/>
            <w:bookmarkEnd w:id="12"/>
          </w:p>
          <w:p w:rsidR="00B210E8" w:rsidRPr="00EF05EF" w:rsidRDefault="00B210E8" w:rsidP="00B210E8">
            <w:pPr>
              <w:pStyle w:val="3"/>
              <w:spacing w:before="0" w:after="0"/>
              <w:ind w:firstLine="709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bookmarkStart w:id="13" w:name="_Toc491709784"/>
            <w:bookmarkStart w:id="14" w:name="_Toc491710385"/>
            <w:bookmarkStart w:id="15" w:name="_Toc497910519"/>
            <w:bookmarkStart w:id="16" w:name="_Toc502247845"/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При определении объемов снижений максимальной мощности, определяемых зависимостью ограничений (снижений) максимальной мощности блочных единиц генерирующего оборудования (ПГУ, ГТУ) от величины изменения температуры наружного воздуха, и отсутствии необходимых (промежуточных) данных СО осуществляет их </w:t>
            </w:r>
            <w:proofErr w:type="spellStart"/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дорасчет</w:t>
            </w:r>
            <w:proofErr w:type="spellEnd"/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, используя метод линейной интерполяции ближайших предшествующего и последующего значений.</w:t>
            </w:r>
            <w:bookmarkEnd w:id="13"/>
            <w:bookmarkEnd w:id="14"/>
            <w:bookmarkEnd w:id="15"/>
            <w:bookmarkEnd w:id="16"/>
          </w:p>
          <w:p w:rsidR="00B210E8" w:rsidRPr="00EF05EF" w:rsidRDefault="00B210E8" w:rsidP="00B210E8">
            <w:pPr>
              <w:pStyle w:val="3"/>
              <w:spacing w:before="0" w:after="0"/>
              <w:ind w:firstLine="709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bookmarkStart w:id="17" w:name="_Toc491709785"/>
            <w:bookmarkStart w:id="18" w:name="_Toc491710386"/>
            <w:bookmarkStart w:id="19" w:name="_Toc497910520"/>
            <w:bookmarkStart w:id="20" w:name="_Toc502247846"/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В случае если до начала месяца в отношении блочных единиц генерирующего оборудования (ПГУ, ГТУ) участник оптового рынка не согласовал с СО зависимость ограничений (снижений) максимальной мощности от величины изменения температуры наружного воздуха, регистрация снижений максимальной мощности включенных в работу энергоблоков ПГУ и ГТУ осуществляется в общем порядке в соответствии с настоящим Регламентом.</w:t>
            </w:r>
            <w:bookmarkEnd w:id="17"/>
            <w:bookmarkEnd w:id="18"/>
            <w:bookmarkEnd w:id="19"/>
            <w:bookmarkEnd w:id="20"/>
          </w:p>
          <w:p w:rsidR="00B210E8" w:rsidRPr="00EF05EF" w:rsidRDefault="00B210E8" w:rsidP="00B210E8">
            <w:pPr>
              <w:pStyle w:val="3"/>
              <w:spacing w:before="0" w:after="0"/>
              <w:ind w:firstLine="709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bookmarkStart w:id="21" w:name="_Toc491709786"/>
            <w:bookmarkStart w:id="22" w:name="_Toc491710387"/>
            <w:bookmarkStart w:id="23" w:name="_Toc497910521"/>
            <w:bookmarkStart w:id="24" w:name="_Toc502247847"/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При наличии согласованной до начала месяца с СО зависимости ограничений (снижений) максимальной мощности блочных единиц генерирующего оборудования (ПГУ, ГТУ) от величины изменения температуры наружного воздуха, участник оптового рынка в составе уведомлений о составе и параметрах генерирующего оборудования (и в уведомлениях РСВ, и в оперативных уведомлениях), подаваемых 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участниками оптового рынка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в соответствии с </w:t>
            </w:r>
            <w:r w:rsidRPr="00EF05EF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 xml:space="preserve">Регламентом </w:t>
            </w:r>
            <w:r w:rsidRPr="00EF05EF">
              <w:rPr>
                <w:rFonts w:ascii="Garamond" w:hAnsi="Garamond"/>
                <w:b w:val="0"/>
                <w:i/>
                <w:sz w:val="22"/>
                <w:szCs w:val="22"/>
              </w:rPr>
              <w:t>подачи уведомлений участниками оптового рынка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(Приложение № 4 к</w:t>
            </w:r>
            <w:r w:rsidRPr="00EF05EF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), должен заявлять значения температуры наружного воздуха, принятые при расчете параметров указанного генерирующего оборудования, и соответствующие им ограничения (снижения) максимальной мощности.</w:t>
            </w:r>
            <w:bookmarkEnd w:id="21"/>
            <w:bookmarkEnd w:id="22"/>
            <w:bookmarkEnd w:id="23"/>
            <w:bookmarkEnd w:id="24"/>
          </w:p>
          <w:p w:rsidR="00B210E8" w:rsidRPr="00EF05EF" w:rsidRDefault="00B210E8" w:rsidP="00B210E8">
            <w:pPr>
              <w:pStyle w:val="3"/>
              <w:spacing w:before="0" w:after="0"/>
              <w:ind w:firstLine="709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bookmarkStart w:id="25" w:name="_Toc491709787"/>
            <w:bookmarkStart w:id="26" w:name="_Toc491710388"/>
            <w:bookmarkStart w:id="27" w:name="_Toc497910522"/>
            <w:bookmarkStart w:id="28" w:name="_Toc502247848"/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При этом в составе оперативных уведомлений могут быть заявлены дополнительные ограничения (снижения) максимальной мощности, не связанные с ремонтом основного и (или) вспомогательного оборудования и обусловленные изменением ограничений установленной мощности в связи с 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изменением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прогнозной температуры наружного воздуха, заявленной в составе оперативного уведомления, относительно температуры наружного воздуха, заявленной в составе уведомления РСВ, более чем на 5 (пять) градусов по Цельсию. В таких случаях снижение максимальной мощности включенных в работу блочных единиц генерирующего оборудования энергоблоков ПГУ и ГТУ, заявленное в составе уведомления о составе и параметрах генерирующего оборудования в период с 16 часов 30 минут 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lastRenderedPageBreak/>
              <w:t xml:space="preserve">московского времени суток, предшествующих торговым (для второй неценовой зоны – после 10 часов 00 минут хабаровского времени суток </w:t>
            </w:r>
            <w:r w:rsidRPr="00EF05EF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Х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-1), до часа (</w:t>
            </w:r>
            <w:r w:rsidRPr="00EF05EF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n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-4),</w:t>
            </w:r>
            <w:r w:rsidRPr="00EF05EF">
              <w:rPr>
                <w:rFonts w:ascii="Garamond" w:hAnsi="Garamond"/>
                <w:b w:val="0"/>
                <w:sz w:val="22"/>
                <w:szCs w:val="22"/>
              </w:rPr>
              <w:t xml:space="preserve"> где </w:t>
            </w:r>
            <w:r w:rsidRPr="00EF05EF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n</w:t>
            </w:r>
            <w:r w:rsidRPr="00EF05EF">
              <w:rPr>
                <w:rFonts w:ascii="Garamond" w:hAnsi="Garamond"/>
                <w:b w:val="0"/>
                <w:sz w:val="22"/>
                <w:szCs w:val="22"/>
              </w:rPr>
              <w:t xml:space="preserve"> – операционный час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регистрируется:</w:t>
            </w:r>
            <w:bookmarkEnd w:id="25"/>
            <w:bookmarkEnd w:id="26"/>
            <w:bookmarkEnd w:id="27"/>
            <w:bookmarkEnd w:id="28"/>
          </w:p>
          <w:p w:rsidR="00B210E8" w:rsidRPr="00EF05EF" w:rsidRDefault="00B210E8" w:rsidP="00B210E8">
            <w:pPr>
              <w:pStyle w:val="3"/>
              <w:keepNext w:val="0"/>
              <w:numPr>
                <w:ilvl w:val="0"/>
                <w:numId w:val="4"/>
              </w:numPr>
              <w:spacing w:before="0" w:after="0"/>
              <w:ind w:left="993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bookmarkStart w:id="29" w:name="_Toc491709788"/>
            <w:bookmarkStart w:id="30" w:name="_Toc491710389"/>
            <w:bookmarkStart w:id="31" w:name="_Toc497910523"/>
            <w:bookmarkStart w:id="32" w:name="_Toc502247849"/>
            <w:proofErr w:type="gramStart"/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как </w:t>
            </w:r>
            <w:r w:rsidRPr="00EF05EF">
              <w:rPr>
                <w:rFonts w:ascii="Garamond" w:hAnsi="Garamond"/>
                <w:b w:val="0"/>
                <w:color w:val="000000"/>
                <w:position w:val="-10"/>
                <w:sz w:val="22"/>
                <w:szCs w:val="22"/>
              </w:rPr>
              <w:object w:dxaOrig="840" w:dyaOrig="4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21.75pt" o:ole="">
                  <v:imagedata r:id="rId7" o:title=""/>
                </v:shape>
                <o:OLEObject Type="Embed" ProgID="Equation.3" ShapeID="_x0000_i1025" DrawAspect="Content" ObjectID="_1598889185" r:id="rId8"/>
              </w:objec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объеме, не превышающем объем, определяемый зависимостью величины ограничений (снижений) максимальной мощности блочных единиц генерирующего оборудования (ПГУ, ГТУ) от величины изменения температуры наружного воздуха, заявленной до начала текущего месяца и согласованной СО в соответствии с настоящим Регламентом;</w:t>
            </w:r>
            <w:bookmarkEnd w:id="29"/>
            <w:bookmarkEnd w:id="30"/>
            <w:bookmarkEnd w:id="31"/>
            <w:bookmarkEnd w:id="32"/>
          </w:p>
          <w:p w:rsidR="00B210E8" w:rsidRPr="00EF05EF" w:rsidRDefault="00B210E8" w:rsidP="00B210E8">
            <w:pPr>
              <w:pStyle w:val="3"/>
              <w:keepNext w:val="0"/>
              <w:numPr>
                <w:ilvl w:val="0"/>
                <w:numId w:val="4"/>
              </w:numPr>
              <w:spacing w:before="0" w:after="0"/>
              <w:ind w:left="993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bookmarkStart w:id="33" w:name="_Toc491709789"/>
            <w:bookmarkStart w:id="34" w:name="_Toc491710390"/>
            <w:bookmarkStart w:id="35" w:name="_Toc497910524"/>
            <w:bookmarkStart w:id="36" w:name="_Toc502247850"/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в порядке</w:t>
            </w:r>
            <w:r w:rsidRPr="00EF05EF">
              <w:rPr>
                <w:rFonts w:ascii="Garamond" w:hAnsi="Garamond"/>
                <w:b w:val="0"/>
                <w:sz w:val="22"/>
                <w:szCs w:val="22"/>
              </w:rPr>
              <w:t>, установленном в п. 3.4 настоящего Регламента,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в </w:t>
            </w:r>
            <w:r w:rsidRPr="00396C37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отношении величины снижений максимальной мощности,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превышающе</w:t>
            </w:r>
            <w:r w:rsidRPr="00396C37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й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</w:t>
            </w:r>
            <w:r w:rsidRPr="00396C37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величину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, определенн</w:t>
            </w:r>
            <w:r w:rsidRPr="00396C37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ую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зависимостью ограничений (снижений) максимальной мощности блочных единиц генерирующего оборудования (ПГУ, ГТУ) от величины изменения температуры наружного воздуха, заявленной до начала текущего месяца и согласованной СО в соответствии с настоящим Регламентом;</w:t>
            </w:r>
            <w:bookmarkEnd w:id="33"/>
            <w:bookmarkEnd w:id="34"/>
            <w:bookmarkEnd w:id="35"/>
            <w:bookmarkEnd w:id="36"/>
          </w:p>
          <w:p w:rsidR="00B210E8" w:rsidRPr="00EF05EF" w:rsidRDefault="00B210E8" w:rsidP="00B210E8">
            <w:pPr>
              <w:pStyle w:val="3"/>
              <w:keepNext w:val="0"/>
              <w:numPr>
                <w:ilvl w:val="0"/>
                <w:numId w:val="4"/>
              </w:numPr>
              <w:spacing w:before="0" w:after="0"/>
              <w:ind w:left="993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bookmarkStart w:id="37" w:name="_Toc491709790"/>
            <w:bookmarkStart w:id="38" w:name="_Toc491710391"/>
            <w:bookmarkStart w:id="39" w:name="_Toc497910525"/>
            <w:bookmarkStart w:id="40" w:name="_Toc502247851"/>
            <w:r w:rsidRPr="00B12F24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в порядке</w:t>
            </w:r>
            <w:r w:rsidRPr="00B12F24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, установленном в п. 3.4 настоящего Регламента,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при отсутствии в уведомлениях РСВ или оперативных уведомлениях значений температуры наружного воздуха, принятых при расчете параметров указанного генерирующего оборудования;</w:t>
            </w:r>
            <w:bookmarkEnd w:id="37"/>
            <w:bookmarkEnd w:id="38"/>
            <w:bookmarkEnd w:id="39"/>
            <w:bookmarkEnd w:id="40"/>
          </w:p>
          <w:p w:rsidR="00B210E8" w:rsidRPr="00EF05EF" w:rsidRDefault="00B210E8" w:rsidP="00B210E8">
            <w:pPr>
              <w:pStyle w:val="3"/>
              <w:keepNext w:val="0"/>
              <w:numPr>
                <w:ilvl w:val="0"/>
                <w:numId w:val="4"/>
              </w:numPr>
              <w:spacing w:before="0" w:after="0"/>
              <w:ind w:left="993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bookmarkStart w:id="41" w:name="_Toc491709791"/>
            <w:bookmarkStart w:id="42" w:name="_Toc491710392"/>
            <w:bookmarkStart w:id="43" w:name="_Toc497910526"/>
            <w:bookmarkStart w:id="44" w:name="_Toc502247852"/>
            <w:r w:rsidRPr="00B12F24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в порядке</w:t>
            </w:r>
            <w:r w:rsidRPr="00B12F24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, установленном в п. 3.4 настоящего Регламента,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при отсутствии в составе согласованных с СО дополнительных неэлектрических параметров, передаваемых в соответствии с п. 2.2.2 приложения 3 к </w:t>
            </w:r>
            <w:r w:rsidRPr="00EF05EF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Регламенту допуска к торговой системе оптового рынка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(Приложение № 1 к </w:t>
            </w:r>
            <w:r w:rsidRPr="00EF05EF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), фактических значений температуры наружного воздуха;</w:t>
            </w:r>
            <w:bookmarkEnd w:id="41"/>
            <w:bookmarkEnd w:id="42"/>
            <w:bookmarkEnd w:id="43"/>
            <w:bookmarkEnd w:id="44"/>
          </w:p>
          <w:p w:rsidR="00B210E8" w:rsidRPr="00EF05EF" w:rsidRDefault="00B210E8" w:rsidP="00EF05EF">
            <w:pPr>
              <w:pStyle w:val="3"/>
              <w:keepNext w:val="0"/>
              <w:numPr>
                <w:ilvl w:val="0"/>
                <w:numId w:val="4"/>
              </w:numPr>
              <w:spacing w:before="0" w:after="0"/>
              <w:ind w:left="993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bookmarkStart w:id="45" w:name="_Toc491709792"/>
            <w:bookmarkStart w:id="46" w:name="_Toc491710393"/>
            <w:bookmarkStart w:id="47" w:name="_Toc497910527"/>
            <w:bookmarkStart w:id="48" w:name="_Toc502247853"/>
            <w:r w:rsidRPr="00B12F24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в порядке</w:t>
            </w:r>
            <w:r w:rsidRPr="00B12F24">
              <w:rPr>
                <w:rFonts w:ascii="Garamond" w:hAnsi="Garamond"/>
                <w:b w:val="0"/>
                <w:sz w:val="22"/>
                <w:szCs w:val="22"/>
                <w:highlight w:val="yellow"/>
              </w:rPr>
              <w:t>, установленном в п. 3.4 настоящего Регламента,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при наличии зарегистрированного в соответствии с п. 3.5 </w:t>
            </w:r>
            <w:r w:rsidRPr="00EF05EF">
              <w:rPr>
                <w:rFonts w:ascii="Garamond" w:hAnsi="Garamond"/>
                <w:b w:val="0"/>
                <w:sz w:val="22"/>
                <w:szCs w:val="22"/>
              </w:rPr>
              <w:t>настоящего Регламента,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в отношении соответствующей ГТП генерации, в течение любого из последних трех календарных месяцев признака технической неготовности СОТИАССО.</w:t>
            </w:r>
            <w:bookmarkEnd w:id="45"/>
            <w:bookmarkEnd w:id="46"/>
            <w:bookmarkEnd w:id="47"/>
            <w:bookmarkEnd w:id="48"/>
          </w:p>
        </w:tc>
        <w:tc>
          <w:tcPr>
            <w:tcW w:w="7182" w:type="dxa"/>
            <w:shd w:val="clear" w:color="auto" w:fill="auto"/>
          </w:tcPr>
          <w:p w:rsidR="00B210E8" w:rsidRPr="00EF05EF" w:rsidRDefault="00B210E8" w:rsidP="00B210E8">
            <w:pPr>
              <w:pStyle w:val="3"/>
              <w:spacing w:before="0" w:after="0"/>
              <w:ind w:firstLine="709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lastRenderedPageBreak/>
              <w:t>В отношении блочных единиц генерирующего оборудования (ПГУ, ГТУ) участник оптового рынка за 5 (пять) рабочих дней до начала месяца имеет право направить и согласовать с СО единые данные (одну зависимость ограничений (снижений) максимальной мощности от величины изменения температуры наружного воздуха), сформированные для стационарных условий функционирования генерирующего оборудования (ПГУ, ГТУ), а именно табличное представление изменения величины ограничений (снижений) мощности блочных единиц генерирующего оборудования (</w:t>
            </w:r>
            <w:r w:rsidR="00E13F20" w:rsidRPr="00EF05E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ГТУ в составе</w:t>
            </w:r>
            <w:r w:rsidR="00E13F20"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ПГУ, ГТУ) в зависимости от величины изменения температуры наружного воздуха. В табличной форме указывается информация для значений изменения температуры наружного воздуха в интервале от минус 40 до плюс 40 градусов по Цельсию с шагом 5 градусов по Цельсию.</w:t>
            </w:r>
          </w:p>
          <w:p w:rsidR="00B210E8" w:rsidRPr="00EF05EF" w:rsidRDefault="00B210E8" w:rsidP="00B210E8">
            <w:pPr>
              <w:pStyle w:val="3"/>
              <w:spacing w:before="0" w:after="0"/>
              <w:ind w:firstLine="709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Формат предоставления и порядок согласования данных о зависимости ограничений (снижений) максимальной мощности блочных 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lastRenderedPageBreak/>
              <w:t>единиц генерирующего оборудования (ПГУ, ГТУ) от величины изменения температуры наружного воздуха определяется Техническими требованиями.</w:t>
            </w:r>
          </w:p>
          <w:p w:rsidR="00B210E8" w:rsidRPr="00EF05EF" w:rsidRDefault="00B210E8" w:rsidP="00B210E8">
            <w:pPr>
              <w:pStyle w:val="3"/>
              <w:spacing w:before="0" w:after="0"/>
              <w:ind w:firstLine="709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При определении объемов снижений максимальной мощности, определяемых зависимостью ограничений (снижений) максимальной мощности блочных единиц генерирующего оборудования (</w:t>
            </w:r>
            <w:r w:rsidR="00E13F20" w:rsidRPr="00EF05E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ГТУ в составе</w:t>
            </w:r>
            <w:r w:rsidR="00E13F20"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ПГУ, ГТУ) от величины изменения температуры наружного воздуха, и отсутствии необходимых (промежуточных) данных СО осуществляет их </w:t>
            </w:r>
            <w:proofErr w:type="spellStart"/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дорасчет</w:t>
            </w:r>
            <w:proofErr w:type="spellEnd"/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, используя метод линейной интерполяции ближайших предшествующего и последующего значений.</w:t>
            </w:r>
          </w:p>
          <w:p w:rsidR="00B210E8" w:rsidRPr="00EF05EF" w:rsidRDefault="00B210E8" w:rsidP="00B210E8">
            <w:pPr>
              <w:pStyle w:val="3"/>
              <w:spacing w:before="0" w:after="0"/>
              <w:ind w:firstLine="709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В случае если до начала месяца в отношении блочных единиц генерирующего оборудования (ПГУ, ГТУ) участник оптового рынка не согласовал с СО зависимость ограничений (снижений) максимальной мощности от величины изменения температуры наружного воздуха, регистрация снижений максимальной мощности включенных в работу энергоблоков ПГУ и ГТУ осуществляется в общем порядке в соответствии с настоящим Регламентом.</w:t>
            </w:r>
          </w:p>
          <w:p w:rsidR="00B210E8" w:rsidRPr="00EF05EF" w:rsidRDefault="00B210E8" w:rsidP="00B210E8">
            <w:pPr>
              <w:pStyle w:val="3"/>
              <w:spacing w:before="0" w:after="0"/>
              <w:ind w:firstLine="709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При наличии согласованной до начала месяца с СО зависимости ограничений (снижений) максимальной мощности блочных единиц генерирующего оборудования (</w:t>
            </w:r>
            <w:r w:rsidR="00E13F20" w:rsidRPr="00EF05E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ГТУ в составе</w:t>
            </w:r>
            <w:r w:rsidR="00E13F20"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ПГУ, ГТУ) от величины изменения </w:t>
            </w:r>
            <w:r w:rsidR="00B12F24" w:rsidRPr="00B12F24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прогнозной</w:t>
            </w:r>
            <w:r w:rsidR="00B12F24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температуры наружного воздуха, участник оптового рынка в составе уведомлений о составе и параметрах генерирующего оборудования (и в уведомлениях РСВ, и в оперативных уведомлениях), подаваемых в соответствии с </w:t>
            </w:r>
            <w:r w:rsidRPr="00EF05EF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 xml:space="preserve">Регламентом </w:t>
            </w:r>
            <w:r w:rsidRPr="00EF05EF">
              <w:rPr>
                <w:rFonts w:ascii="Garamond" w:hAnsi="Garamond"/>
                <w:b w:val="0"/>
                <w:i/>
                <w:sz w:val="22"/>
                <w:szCs w:val="22"/>
              </w:rPr>
              <w:t>подачи уведомлений участниками оптового рынка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(Приложение № 4 к</w:t>
            </w:r>
            <w:r w:rsidRPr="00EF05EF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 xml:space="preserve"> Договору о присоединении к торговой системе оптового рынка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), должен заявлять значения </w:t>
            </w:r>
            <w:r w:rsidR="00B12F24" w:rsidRPr="00B12F24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прогнозной</w:t>
            </w:r>
            <w:r w:rsidR="00B12F24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температуры наружного воздуха, принятые при расчете параметров указанного генерирующего оборудования, и соответствующие им ограничения (снижения) максимальной мощности.</w:t>
            </w:r>
          </w:p>
          <w:p w:rsidR="00B210E8" w:rsidRPr="00EF05EF" w:rsidRDefault="00B210E8" w:rsidP="00B210E8">
            <w:pPr>
              <w:pStyle w:val="3"/>
              <w:spacing w:before="0" w:after="0"/>
              <w:ind w:firstLine="709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При этом в составе оперативных уведомлений могут быть заявлены дополнительные ограничения (снижения) максимальной мощности, не связанные с ремонтом основного и (или) вспомогательного оборудования и обусловленные изменением ограничений установленной мощности в связи с </w:t>
            </w:r>
            <w:r w:rsidR="00D46CA5" w:rsidRPr="00EF05E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увеличением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прогнозной температуры наружного воздуха, заявленной в составе оперативного уведомления, относительно </w:t>
            </w:r>
            <w:r w:rsidR="00B12F24" w:rsidRPr="00B12F24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прогнозной</w:t>
            </w:r>
            <w:r w:rsidR="00B12F24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температуры наружного воздуха, заявленной в составе уведомления РСВ, более чем на 5 (пять) градусов по Цельсию. В таких случаях снижение максимальной мощности включенных в работу блочных единиц генерирующего оборудования энергоблоков ПГУ и ГТУ, заявленное в составе уведомления о 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lastRenderedPageBreak/>
              <w:t xml:space="preserve">составе и параметрах генерирующего оборудования в период с 16 часов 30 минут московского времени суток, предшествующих торговым (для второй неценовой зоны – после 10 часов 00 минут хабаровского времени суток </w:t>
            </w:r>
            <w:r w:rsidRPr="00EF05EF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Х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-1), до часа (</w:t>
            </w:r>
            <w:r w:rsidRPr="00EF05EF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n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-4),</w:t>
            </w:r>
            <w:r w:rsidRPr="00EF05EF">
              <w:rPr>
                <w:rFonts w:ascii="Garamond" w:hAnsi="Garamond"/>
                <w:b w:val="0"/>
                <w:sz w:val="22"/>
                <w:szCs w:val="22"/>
              </w:rPr>
              <w:t xml:space="preserve"> где </w:t>
            </w:r>
            <w:r w:rsidRPr="00EF05EF">
              <w:rPr>
                <w:rFonts w:ascii="Garamond" w:hAnsi="Garamond"/>
                <w:b w:val="0"/>
                <w:i/>
                <w:sz w:val="22"/>
                <w:szCs w:val="22"/>
                <w:lang w:val="en-US"/>
              </w:rPr>
              <w:t>n</w:t>
            </w:r>
            <w:r w:rsidRPr="00EF05EF">
              <w:rPr>
                <w:rFonts w:ascii="Garamond" w:hAnsi="Garamond"/>
                <w:b w:val="0"/>
                <w:sz w:val="22"/>
                <w:szCs w:val="22"/>
              </w:rPr>
              <w:t xml:space="preserve"> – операционный час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регистрируется:</w:t>
            </w:r>
          </w:p>
          <w:p w:rsidR="00B210E8" w:rsidRPr="00EF05EF" w:rsidRDefault="00B210E8" w:rsidP="00B210E8">
            <w:pPr>
              <w:pStyle w:val="3"/>
              <w:keepNext w:val="0"/>
              <w:numPr>
                <w:ilvl w:val="0"/>
                <w:numId w:val="4"/>
              </w:numPr>
              <w:spacing w:before="0" w:after="0"/>
              <w:ind w:left="993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proofErr w:type="gramStart"/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как </w:t>
            </w:r>
            <w:r w:rsidRPr="00EF05EF">
              <w:rPr>
                <w:rFonts w:ascii="Garamond" w:hAnsi="Garamond"/>
                <w:b w:val="0"/>
                <w:color w:val="000000"/>
                <w:position w:val="-10"/>
                <w:sz w:val="22"/>
                <w:szCs w:val="22"/>
              </w:rPr>
              <w:object w:dxaOrig="840" w:dyaOrig="420">
                <v:shape id="_x0000_i1026" type="#_x0000_t75" style="width:43.5pt;height:21.75pt" o:ole="">
                  <v:imagedata r:id="rId7" o:title=""/>
                </v:shape>
                <o:OLEObject Type="Embed" ProgID="Equation.3" ShapeID="_x0000_i1026" DrawAspect="Content" ObjectID="_1598889186" r:id="rId9"/>
              </w:objec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в</w:t>
            </w:r>
            <w:proofErr w:type="gramEnd"/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объеме, не превышающем объем, определяемый зависимостью величины ограничений (снижений) максимальной мощности блочных единиц генерирующего оборудования (</w:t>
            </w:r>
            <w:r w:rsidR="00883C97" w:rsidRPr="00EF05E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ГТУ в составе</w:t>
            </w:r>
            <w:r w:rsidR="00883C97"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ПГУ, ГТУ) от величины изменения температуры наружного воздуха, заявленной до начала текущего месяца и согласованной СО в соответствии с настоящим Регламентом</w:t>
            </w:r>
            <w:r w:rsidR="00B12F24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. </w:t>
            </w:r>
            <w:r w:rsidR="00B12F24" w:rsidRPr="00B12F24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 xml:space="preserve">При этом величина изменения температуры наружного воздуха определяется как разность между минимальным значением из прогнозной температуры наружного воздуха, заявленной в составе оперативного уведомления, и фактическим значением температуры наружного воздуха, переданным в составе согласованных с СО дополнительных неэлектрических параметров, передаваемых в соответствии с п. 2.2.2 приложения 3 к </w:t>
            </w:r>
            <w:r w:rsidR="00B12F24" w:rsidRPr="00B12F24">
              <w:rPr>
                <w:rFonts w:ascii="Garamond" w:hAnsi="Garamond"/>
                <w:b w:val="0"/>
                <w:i/>
                <w:color w:val="000000"/>
                <w:sz w:val="22"/>
                <w:szCs w:val="22"/>
                <w:highlight w:val="yellow"/>
              </w:rPr>
              <w:t>Регламенту</w:t>
            </w:r>
            <w:bookmarkStart w:id="49" w:name="_GoBack"/>
            <w:bookmarkEnd w:id="49"/>
            <w:r w:rsidR="00B12F24" w:rsidRPr="00B12F24">
              <w:rPr>
                <w:rFonts w:ascii="Garamond" w:hAnsi="Garamond"/>
                <w:b w:val="0"/>
                <w:i/>
                <w:color w:val="000000"/>
                <w:sz w:val="22"/>
                <w:szCs w:val="22"/>
                <w:highlight w:val="yellow"/>
              </w:rPr>
              <w:t xml:space="preserve"> допуска к торговой системе оптового рынка</w:t>
            </w:r>
            <w:r w:rsidR="00B12F24" w:rsidRPr="00B12F24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 xml:space="preserve"> (Приложение № 1 к </w:t>
            </w:r>
            <w:r w:rsidR="00B12F24" w:rsidRPr="00B12F24">
              <w:rPr>
                <w:rFonts w:ascii="Garamond" w:hAnsi="Garamond"/>
                <w:b w:val="0"/>
                <w:i/>
                <w:color w:val="000000"/>
                <w:sz w:val="22"/>
                <w:szCs w:val="22"/>
                <w:highlight w:val="yellow"/>
              </w:rPr>
              <w:t>Договору о присоединении к торговой системе оптового рынка</w:t>
            </w:r>
            <w:r w:rsidR="00B12F24" w:rsidRPr="00B12F24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), и прогнозным значением температуры наружного воздуха, заявленным в составе уведомления РСВ</w:t>
            </w: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;</w:t>
            </w:r>
          </w:p>
          <w:p w:rsidR="007E5A8F" w:rsidRPr="007E5A8F" w:rsidRDefault="00B210E8" w:rsidP="00B210E8">
            <w:pPr>
              <w:pStyle w:val="3"/>
              <w:keepNext w:val="0"/>
              <w:numPr>
                <w:ilvl w:val="0"/>
                <w:numId w:val="4"/>
              </w:numPr>
              <w:spacing w:before="0" w:after="0"/>
              <w:ind w:left="993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в порядке</w:t>
            </w:r>
            <w:r w:rsidRPr="00EF05EF">
              <w:rPr>
                <w:rFonts w:ascii="Garamond" w:hAnsi="Garamond"/>
                <w:b w:val="0"/>
                <w:sz w:val="22"/>
                <w:szCs w:val="22"/>
              </w:rPr>
              <w:t>, установленном в п. 3.4 настоящего Регламента</w:t>
            </w:r>
            <w:r w:rsidR="007E5A8F">
              <w:rPr>
                <w:rFonts w:ascii="Garamond" w:hAnsi="Garamond"/>
                <w:b w:val="0"/>
                <w:sz w:val="22"/>
                <w:szCs w:val="22"/>
              </w:rPr>
              <w:t>:</w:t>
            </w:r>
          </w:p>
          <w:p w:rsidR="00B210E8" w:rsidRPr="00EF05EF" w:rsidRDefault="007E5A8F" w:rsidP="007E5A8F">
            <w:pPr>
              <w:pStyle w:val="3"/>
              <w:keepNext w:val="0"/>
              <w:spacing w:before="0" w:after="0"/>
              <w:ind w:left="1307" w:hanging="284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7E5A8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а)</w:t>
            </w:r>
            <w:r w:rsidRPr="007E5A8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</w:t>
            </w:r>
            <w:r w:rsidR="00B210E8"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в </w:t>
            </w:r>
            <w:r w:rsidR="00396C37" w:rsidRPr="00B163CD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объеме</w:t>
            </w:r>
            <w:r w:rsidR="00396C37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, </w:t>
            </w:r>
            <w:r w:rsidR="00B210E8"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превышающе</w:t>
            </w:r>
            <w:r w:rsidR="00396C37" w:rsidRPr="00396C37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м</w:t>
            </w:r>
            <w:r w:rsidR="00B210E8"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</w:t>
            </w:r>
            <w:r w:rsidR="00396C37" w:rsidRPr="00396C37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объем</w:t>
            </w:r>
            <w:r w:rsidR="00396C37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,</w:t>
            </w:r>
            <w:r w:rsidR="00B210E8"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определенн</w:t>
            </w:r>
            <w:r w:rsidR="00396C37" w:rsidRPr="00396C37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ый</w:t>
            </w:r>
            <w:r w:rsidR="00B210E8"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зависимостью ограничений (снижений) максимальной мощности блочных единиц генерирующего оборудования (</w:t>
            </w:r>
            <w:r w:rsidR="00EF05EF" w:rsidRPr="00EF05E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ГТУ в составе</w:t>
            </w:r>
            <w:r w:rsidR="00EF05EF"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</w:t>
            </w:r>
            <w:r w:rsidR="00B210E8"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ПГУ, ГТУ) от величины изменения температуры наружного воздуха, заявленной до начала текущего месяца и согласованной СО в соответствии с настоящим Регламентом;</w:t>
            </w:r>
          </w:p>
          <w:p w:rsidR="00D46CA5" w:rsidRPr="00EF05EF" w:rsidRDefault="007E5A8F" w:rsidP="007E5A8F">
            <w:pPr>
              <w:pStyle w:val="3"/>
              <w:keepNext w:val="0"/>
              <w:spacing w:before="0" w:after="0"/>
              <w:ind w:left="1307" w:hanging="284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7E5A8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б)</w:t>
            </w:r>
            <w:r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</w:t>
            </w:r>
            <w:r w:rsidR="00B210E8"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при отсутствии в уведомлениях РСВ или оперативных уведомлениях значений температуры наружного воздуха, принятых при расчете параметров указанного генерирующего оборудования;</w:t>
            </w:r>
          </w:p>
          <w:p w:rsidR="00D46CA5" w:rsidRPr="00EF05EF" w:rsidRDefault="007E5A8F" w:rsidP="007E5A8F">
            <w:pPr>
              <w:pStyle w:val="3"/>
              <w:keepNext w:val="0"/>
              <w:spacing w:before="0" w:after="0"/>
              <w:ind w:left="1307" w:hanging="284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 xml:space="preserve">в) </w:t>
            </w:r>
            <w:r w:rsidR="00D46CA5" w:rsidRPr="00EF05E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 xml:space="preserve">при фактическом увеличении температуры наружного воздуха, переданной в составе согласованных с СО дополнительных неэлектрических параметров, передаваемых в соответствии с п. 2.2.2 приложения 3 к </w:t>
            </w:r>
            <w:r w:rsidR="00D46CA5" w:rsidRPr="00EF05EF">
              <w:rPr>
                <w:rFonts w:ascii="Garamond" w:hAnsi="Garamond"/>
                <w:b w:val="0"/>
                <w:i/>
                <w:color w:val="000000"/>
                <w:sz w:val="22"/>
                <w:szCs w:val="22"/>
                <w:highlight w:val="yellow"/>
              </w:rPr>
              <w:t>Регламенту допуска к торговой системе оптового рынка</w:t>
            </w:r>
            <w:r w:rsidR="00D46CA5" w:rsidRPr="00EF05E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 xml:space="preserve"> (Приложение № 1 к </w:t>
            </w:r>
            <w:r w:rsidR="00D46CA5" w:rsidRPr="00EF05EF">
              <w:rPr>
                <w:rFonts w:ascii="Garamond" w:hAnsi="Garamond"/>
                <w:b w:val="0"/>
                <w:i/>
                <w:color w:val="000000"/>
                <w:sz w:val="22"/>
                <w:szCs w:val="22"/>
                <w:highlight w:val="yellow"/>
              </w:rPr>
              <w:t xml:space="preserve">Договору о присоединении к </w:t>
            </w:r>
            <w:r w:rsidR="00D46CA5" w:rsidRPr="00EF05EF">
              <w:rPr>
                <w:rFonts w:ascii="Garamond" w:hAnsi="Garamond"/>
                <w:b w:val="0"/>
                <w:i/>
                <w:color w:val="000000"/>
                <w:sz w:val="22"/>
                <w:szCs w:val="22"/>
                <w:highlight w:val="yellow"/>
              </w:rPr>
              <w:lastRenderedPageBreak/>
              <w:t>торговой системе оптового рынка</w:t>
            </w:r>
            <w:r w:rsidR="00D46CA5" w:rsidRPr="00EF05E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 xml:space="preserve">), относительно </w:t>
            </w:r>
            <w:r w:rsidR="00B12F24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 xml:space="preserve">прогнозной </w:t>
            </w:r>
            <w:r w:rsidR="00D46CA5" w:rsidRPr="00EF05E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 xml:space="preserve">температуры наружного воздуха, заявленной в составе уведомления РСВ, </w:t>
            </w:r>
            <w:r w:rsidR="00AC0ACC" w:rsidRPr="00EF05E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менее</w:t>
            </w:r>
            <w:r w:rsidR="00D46CA5" w:rsidRPr="00EF05E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 xml:space="preserve"> чем на 5 (пять) градусов по Цельсию;</w:t>
            </w:r>
          </w:p>
          <w:p w:rsidR="007E5A8F" w:rsidRDefault="007E5A8F" w:rsidP="007E5A8F">
            <w:pPr>
              <w:pStyle w:val="3"/>
              <w:keepNext w:val="0"/>
              <w:spacing w:before="0" w:after="0"/>
              <w:ind w:left="1307" w:hanging="284"/>
              <w:jc w:val="both"/>
              <w:rPr>
                <w:rFonts w:ascii="Garamond" w:hAnsi="Garamond"/>
                <w:b w:val="0"/>
                <w:color w:val="000000"/>
                <w:sz w:val="22"/>
                <w:szCs w:val="22"/>
              </w:rPr>
            </w:pPr>
            <w:r w:rsidRPr="007E5A8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г)</w:t>
            </w:r>
            <w:r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</w:t>
            </w:r>
            <w:r w:rsidR="00B210E8"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при отсутствии в составе согласованных с СО дополнительных неэлектрических параметров, передаваемых в соответствии с п. 2.2.2 приложения 3 к </w:t>
            </w:r>
            <w:r w:rsidR="00B210E8" w:rsidRPr="00EF05EF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Регламенту допуска к торговой системе оптового рынка</w:t>
            </w:r>
            <w:r w:rsidR="00B210E8"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(Приложение № 1 к </w:t>
            </w:r>
            <w:r w:rsidR="00B210E8" w:rsidRPr="00EF05EF">
              <w:rPr>
                <w:rFonts w:ascii="Garamond" w:hAnsi="Garamond"/>
                <w:b w:val="0"/>
                <w:i/>
                <w:color w:val="000000"/>
                <w:sz w:val="22"/>
                <w:szCs w:val="22"/>
              </w:rPr>
              <w:t>Договору о присоединении к торговой системе оптового рынка</w:t>
            </w:r>
            <w:r w:rsidR="00B210E8"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>), фактических значений температуры наружного воздуха;</w:t>
            </w:r>
          </w:p>
          <w:p w:rsidR="00B210E8" w:rsidRPr="00EF05EF" w:rsidRDefault="007E5A8F" w:rsidP="007E5A8F">
            <w:pPr>
              <w:pStyle w:val="3"/>
              <w:keepNext w:val="0"/>
              <w:spacing w:before="0" w:after="0"/>
              <w:ind w:left="1307" w:hanging="284"/>
              <w:jc w:val="both"/>
              <w:rPr>
                <w:rFonts w:ascii="Garamond" w:hAnsi="Garamond"/>
                <w:b w:val="0"/>
                <w:sz w:val="22"/>
                <w:szCs w:val="22"/>
              </w:rPr>
            </w:pPr>
            <w:r w:rsidRPr="007E5A8F">
              <w:rPr>
                <w:rFonts w:ascii="Garamond" w:hAnsi="Garamond"/>
                <w:b w:val="0"/>
                <w:color w:val="000000"/>
                <w:sz w:val="22"/>
                <w:szCs w:val="22"/>
                <w:highlight w:val="yellow"/>
              </w:rPr>
              <w:t>д)</w:t>
            </w:r>
            <w:r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</w:t>
            </w:r>
            <w:r w:rsidR="00B210E8"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при наличии зарегистрированного в соответствии с п. 3.5 </w:t>
            </w:r>
            <w:r w:rsidR="00B210E8" w:rsidRPr="00EF05EF">
              <w:rPr>
                <w:rFonts w:ascii="Garamond" w:hAnsi="Garamond"/>
                <w:b w:val="0"/>
                <w:sz w:val="22"/>
                <w:szCs w:val="22"/>
              </w:rPr>
              <w:t>настоящего Регламента,</w:t>
            </w:r>
            <w:r w:rsidR="00B210E8" w:rsidRPr="00EF05EF">
              <w:rPr>
                <w:rFonts w:ascii="Garamond" w:hAnsi="Garamond"/>
                <w:b w:val="0"/>
                <w:color w:val="000000"/>
                <w:sz w:val="22"/>
                <w:szCs w:val="22"/>
              </w:rPr>
              <w:t xml:space="preserve"> в отношении соответствующей ГТП генерации, в течение любого из последних трех календарных месяцев признака технической неготовности СОТИАССО.</w:t>
            </w:r>
          </w:p>
        </w:tc>
      </w:tr>
    </w:tbl>
    <w:p w:rsidR="00C264AE" w:rsidRDefault="00C264AE" w:rsidP="00EF05EF"/>
    <w:sectPr w:rsidR="00C264AE" w:rsidSect="00F56895">
      <w:headerReference w:type="default" r:id="rId10"/>
      <w:footerReference w:type="default" r:id="rId11"/>
      <w:footerReference w:type="first" r:id="rId12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91F" w:rsidRDefault="00F6191F" w:rsidP="00275242">
      <w:r>
        <w:separator/>
      </w:r>
    </w:p>
  </w:endnote>
  <w:endnote w:type="continuationSeparator" w:id="0">
    <w:p w:rsidR="00F6191F" w:rsidRDefault="00F6191F" w:rsidP="00275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42" w:rsidRPr="00275242" w:rsidRDefault="00275242" w:rsidP="00275242">
    <w:pPr>
      <w:pStyle w:val="ad"/>
      <w:spacing w:before="120"/>
      <w:jc w:val="center"/>
      <w:rPr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42" w:rsidRPr="00275242" w:rsidRDefault="00275242" w:rsidP="00275242">
    <w:pPr>
      <w:pStyle w:val="ad"/>
      <w:spacing w:before="120"/>
      <w:jc w:val="center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91F" w:rsidRDefault="00F6191F" w:rsidP="00275242">
      <w:r>
        <w:separator/>
      </w:r>
    </w:p>
  </w:footnote>
  <w:footnote w:type="continuationSeparator" w:id="0">
    <w:p w:rsidR="00F6191F" w:rsidRDefault="00F6191F" w:rsidP="002752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4219238"/>
      <w:docPartObj>
        <w:docPartGallery w:val="Page Numbers (Top of Page)"/>
        <w:docPartUnique/>
      </w:docPartObj>
    </w:sdtPr>
    <w:sdtEndPr/>
    <w:sdtContent>
      <w:p w:rsidR="00275242" w:rsidRDefault="0027524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63CD">
          <w:rPr>
            <w:noProof/>
          </w:rPr>
          <w:t>4</w:t>
        </w:r>
        <w:r>
          <w:fldChar w:fldCharType="end"/>
        </w:r>
      </w:p>
    </w:sdtContent>
  </w:sdt>
  <w:p w:rsidR="00275242" w:rsidRDefault="00275242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65F8D"/>
    <w:multiLevelType w:val="hybridMultilevel"/>
    <w:tmpl w:val="E90063BC"/>
    <w:lvl w:ilvl="0" w:tplc="D03C4C5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5070C3"/>
    <w:multiLevelType w:val="hybridMultilevel"/>
    <w:tmpl w:val="881287E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026C8D"/>
    <w:multiLevelType w:val="multilevel"/>
    <w:tmpl w:val="2DC89BB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320" w:hanging="720"/>
      </w:pPr>
    </w:lvl>
    <w:lvl w:ilvl="2">
      <w:start w:val="1"/>
      <w:numFmt w:val="decimalZero"/>
      <w:lvlText w:val="%1.%2.%3."/>
      <w:lvlJc w:val="left"/>
      <w:pPr>
        <w:ind w:left="1920" w:hanging="720"/>
      </w:pPr>
    </w:lvl>
    <w:lvl w:ilvl="3">
      <w:start w:val="1"/>
      <w:numFmt w:val="decimal"/>
      <w:lvlText w:val="%1.%2.%3.%4."/>
      <w:lvlJc w:val="left"/>
      <w:pPr>
        <w:ind w:left="2880" w:hanging="1080"/>
      </w:pPr>
    </w:lvl>
    <w:lvl w:ilvl="4">
      <w:start w:val="1"/>
      <w:numFmt w:val="decimal"/>
      <w:lvlText w:val="%1.%2.%3.%4.%5."/>
      <w:lvlJc w:val="left"/>
      <w:pPr>
        <w:ind w:left="3480" w:hanging="1080"/>
      </w:pPr>
    </w:lvl>
    <w:lvl w:ilvl="5">
      <w:start w:val="1"/>
      <w:numFmt w:val="decimal"/>
      <w:lvlText w:val="%1.%2.%3.%4.%5.%6."/>
      <w:lvlJc w:val="left"/>
      <w:pPr>
        <w:ind w:left="4440" w:hanging="1440"/>
      </w:pPr>
    </w:lvl>
    <w:lvl w:ilvl="6">
      <w:start w:val="1"/>
      <w:numFmt w:val="decimal"/>
      <w:lvlText w:val="%1.%2.%3.%4.%5.%6.%7."/>
      <w:lvlJc w:val="left"/>
      <w:pPr>
        <w:ind w:left="5040" w:hanging="1440"/>
      </w:pPr>
    </w:lvl>
    <w:lvl w:ilvl="7">
      <w:start w:val="1"/>
      <w:numFmt w:val="decimal"/>
      <w:lvlText w:val="%1.%2.%3.%4.%5.%6.%7.%8."/>
      <w:lvlJc w:val="left"/>
      <w:pPr>
        <w:ind w:left="6000" w:hanging="1800"/>
      </w:pPr>
    </w:lvl>
    <w:lvl w:ilvl="8">
      <w:start w:val="1"/>
      <w:numFmt w:val="decimal"/>
      <w:lvlText w:val="%1.%2.%3.%4.%5.%6.%7.%8.%9."/>
      <w:lvlJc w:val="left"/>
      <w:pPr>
        <w:ind w:left="6600" w:hanging="1800"/>
      </w:pPr>
    </w:lvl>
  </w:abstractNum>
  <w:abstractNum w:abstractNumId="3" w15:restartNumberingAfterBreak="0">
    <w:nsid w:val="5C7842B3"/>
    <w:multiLevelType w:val="multilevel"/>
    <w:tmpl w:val="2DC89BB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1320" w:hanging="720"/>
      </w:pPr>
    </w:lvl>
    <w:lvl w:ilvl="2">
      <w:start w:val="1"/>
      <w:numFmt w:val="decimalZero"/>
      <w:lvlText w:val="%1.%2.%3."/>
      <w:lvlJc w:val="left"/>
      <w:pPr>
        <w:ind w:left="1920" w:hanging="720"/>
      </w:pPr>
    </w:lvl>
    <w:lvl w:ilvl="3">
      <w:start w:val="1"/>
      <w:numFmt w:val="decimal"/>
      <w:lvlText w:val="%1.%2.%3.%4."/>
      <w:lvlJc w:val="left"/>
      <w:pPr>
        <w:ind w:left="2880" w:hanging="1080"/>
      </w:pPr>
    </w:lvl>
    <w:lvl w:ilvl="4">
      <w:start w:val="1"/>
      <w:numFmt w:val="decimal"/>
      <w:lvlText w:val="%1.%2.%3.%4.%5."/>
      <w:lvlJc w:val="left"/>
      <w:pPr>
        <w:ind w:left="3480" w:hanging="1080"/>
      </w:pPr>
    </w:lvl>
    <w:lvl w:ilvl="5">
      <w:start w:val="1"/>
      <w:numFmt w:val="decimal"/>
      <w:lvlText w:val="%1.%2.%3.%4.%5.%6."/>
      <w:lvlJc w:val="left"/>
      <w:pPr>
        <w:ind w:left="4440" w:hanging="1440"/>
      </w:pPr>
    </w:lvl>
    <w:lvl w:ilvl="6">
      <w:start w:val="1"/>
      <w:numFmt w:val="decimal"/>
      <w:lvlText w:val="%1.%2.%3.%4.%5.%6.%7."/>
      <w:lvlJc w:val="left"/>
      <w:pPr>
        <w:ind w:left="5040" w:hanging="1440"/>
      </w:pPr>
    </w:lvl>
    <w:lvl w:ilvl="7">
      <w:start w:val="1"/>
      <w:numFmt w:val="decimal"/>
      <w:lvlText w:val="%1.%2.%3.%4.%5.%6.%7.%8."/>
      <w:lvlJc w:val="left"/>
      <w:pPr>
        <w:ind w:left="6000" w:hanging="1800"/>
      </w:pPr>
    </w:lvl>
    <w:lvl w:ilvl="8">
      <w:start w:val="1"/>
      <w:numFmt w:val="decimal"/>
      <w:lvlText w:val="%1.%2.%3.%4.%5.%6.%7.%8.%9."/>
      <w:lvlJc w:val="left"/>
      <w:pPr>
        <w:ind w:left="6600" w:hanging="180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50D"/>
    <w:rsid w:val="0000686B"/>
    <w:rsid w:val="00186526"/>
    <w:rsid w:val="0027034D"/>
    <w:rsid w:val="00275242"/>
    <w:rsid w:val="002D2F17"/>
    <w:rsid w:val="00372492"/>
    <w:rsid w:val="00381C6E"/>
    <w:rsid w:val="00396C37"/>
    <w:rsid w:val="0041189F"/>
    <w:rsid w:val="004B5E00"/>
    <w:rsid w:val="00501BB9"/>
    <w:rsid w:val="00502550"/>
    <w:rsid w:val="0059176B"/>
    <w:rsid w:val="00592CC8"/>
    <w:rsid w:val="007E5A8F"/>
    <w:rsid w:val="00883C97"/>
    <w:rsid w:val="008C6EC7"/>
    <w:rsid w:val="0097394D"/>
    <w:rsid w:val="0099450D"/>
    <w:rsid w:val="009D440F"/>
    <w:rsid w:val="00A20396"/>
    <w:rsid w:val="00AC0ACC"/>
    <w:rsid w:val="00B12F24"/>
    <w:rsid w:val="00B163CD"/>
    <w:rsid w:val="00B210E8"/>
    <w:rsid w:val="00BF1A35"/>
    <w:rsid w:val="00C264AE"/>
    <w:rsid w:val="00C60D58"/>
    <w:rsid w:val="00CA3615"/>
    <w:rsid w:val="00CD2D1E"/>
    <w:rsid w:val="00D12A0C"/>
    <w:rsid w:val="00D46CA5"/>
    <w:rsid w:val="00D8205D"/>
    <w:rsid w:val="00E13F20"/>
    <w:rsid w:val="00EF05EF"/>
    <w:rsid w:val="00F56895"/>
    <w:rsid w:val="00F6191F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5:docId w15:val="{61950137-0E16-4945-9B4F-0C93E640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50D"/>
    <w:rPr>
      <w:sz w:val="24"/>
      <w:szCs w:val="24"/>
    </w:rPr>
  </w:style>
  <w:style w:type="paragraph" w:styleId="2">
    <w:name w:val="heading 2"/>
    <w:basedOn w:val="a"/>
    <w:next w:val="a"/>
    <w:qFormat/>
    <w:rsid w:val="0099450D"/>
    <w:pPr>
      <w:keepNext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nhideWhenUsed/>
    <w:qFormat/>
    <w:rsid w:val="00B210E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99450D"/>
    <w:pPr>
      <w:ind w:left="720"/>
      <w:contextualSpacing/>
    </w:pPr>
    <w:rPr>
      <w:rFonts w:ascii="Garamond" w:hAnsi="Garamond"/>
      <w:sz w:val="22"/>
      <w:szCs w:val="20"/>
    </w:rPr>
  </w:style>
  <w:style w:type="paragraph" w:styleId="a4">
    <w:name w:val="Balloon Text"/>
    <w:basedOn w:val="a"/>
    <w:link w:val="a5"/>
    <w:rsid w:val="0018652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186526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link w:val="3"/>
    <w:rsid w:val="00B210E8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a6">
    <w:name w:val="annotation reference"/>
    <w:rsid w:val="00C60D58"/>
    <w:rPr>
      <w:sz w:val="16"/>
      <w:szCs w:val="16"/>
    </w:rPr>
  </w:style>
  <w:style w:type="paragraph" w:styleId="a7">
    <w:name w:val="annotation text"/>
    <w:basedOn w:val="a"/>
    <w:link w:val="a8"/>
    <w:rsid w:val="00C60D58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rsid w:val="00C60D58"/>
  </w:style>
  <w:style w:type="paragraph" w:styleId="a9">
    <w:name w:val="annotation subject"/>
    <w:basedOn w:val="a7"/>
    <w:next w:val="a7"/>
    <w:link w:val="aa"/>
    <w:rsid w:val="00C60D58"/>
    <w:rPr>
      <w:b/>
      <w:bCs/>
    </w:rPr>
  </w:style>
  <w:style w:type="character" w:customStyle="1" w:styleId="aa">
    <w:name w:val="Тема примечания Знак"/>
    <w:link w:val="a9"/>
    <w:rsid w:val="00C60D58"/>
    <w:rPr>
      <w:b/>
      <w:bCs/>
    </w:rPr>
  </w:style>
  <w:style w:type="paragraph" w:styleId="ab">
    <w:name w:val="header"/>
    <w:basedOn w:val="a"/>
    <w:link w:val="ac"/>
    <w:uiPriority w:val="99"/>
    <w:rsid w:val="0027524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75242"/>
    <w:rPr>
      <w:sz w:val="24"/>
      <w:szCs w:val="24"/>
    </w:rPr>
  </w:style>
  <w:style w:type="paragraph" w:styleId="ad">
    <w:name w:val="footer"/>
    <w:basedOn w:val="a"/>
    <w:link w:val="ae"/>
    <w:uiPriority w:val="99"/>
    <w:rsid w:val="0027524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7524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1553</Words>
  <Characters>11063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Заседание Наблюдательного совета Ассоциации «НП Совет рынка»</vt:lpstr>
    </vt:vector>
  </TitlesOfParts>
  <Company>rosinter</Company>
  <LinksUpToDate>false</LinksUpToDate>
  <CharactersWithSpaces>12591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Заседание Наблюдательного совета Ассоциации «НП Совет рынка»</dc:title>
  <dc:creator>pii</dc:creator>
  <cp:lastModifiedBy>Гирина Марина Владимировна</cp:lastModifiedBy>
  <cp:revision>4</cp:revision>
  <cp:lastPrinted>2018-08-03T12:32:00Z</cp:lastPrinted>
  <dcterms:created xsi:type="dcterms:W3CDTF">2018-08-06T11:21:00Z</dcterms:created>
  <dcterms:modified xsi:type="dcterms:W3CDTF">2018-09-19T16:07:00Z</dcterms:modified>
</cp:coreProperties>
</file>